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E1" w:rsidRDefault="002847E1" w:rsidP="002847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OSNOVNA ŠKOLA JOSIPA</w:t>
      </w:r>
      <w:r w:rsidR="000D1838">
        <w:rPr>
          <w:sz w:val="22"/>
          <w:szCs w:val="22"/>
        </w:rPr>
        <w:t xml:space="preserve"> </w:t>
      </w:r>
      <w:r>
        <w:rPr>
          <w:sz w:val="22"/>
          <w:szCs w:val="22"/>
        </w:rPr>
        <w:t>JURJA STROSSMAYERA</w:t>
      </w:r>
    </w:p>
    <w:p w:rsidR="000D1838" w:rsidRDefault="000D1838" w:rsidP="002847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KARDINALA A. STEPINCA BB</w:t>
      </w:r>
    </w:p>
    <w:p w:rsidR="002847E1" w:rsidRDefault="000D1838" w:rsidP="002847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31511 </w:t>
      </w:r>
      <w:r w:rsidR="002847E1">
        <w:rPr>
          <w:sz w:val="22"/>
          <w:szCs w:val="22"/>
        </w:rPr>
        <w:t xml:space="preserve">Đ U R Đ E N O V A C </w:t>
      </w:r>
    </w:p>
    <w:p w:rsidR="002847E1" w:rsidRDefault="002847E1" w:rsidP="002847E1">
      <w:pPr>
        <w:pStyle w:val="Default"/>
        <w:rPr>
          <w:sz w:val="22"/>
          <w:szCs w:val="22"/>
        </w:rPr>
      </w:pPr>
    </w:p>
    <w:p w:rsidR="002847E1" w:rsidRDefault="0079597F" w:rsidP="002847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011-03-02/14-2-3</w:t>
      </w:r>
      <w:bookmarkStart w:id="0" w:name="_GoBack"/>
      <w:bookmarkEnd w:id="0"/>
    </w:p>
    <w:p w:rsidR="002847E1" w:rsidRDefault="002847E1" w:rsidP="002847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2149-08/14-01</w:t>
      </w:r>
    </w:p>
    <w:p w:rsidR="002847E1" w:rsidRDefault="002847E1" w:rsidP="002847E1">
      <w:pPr>
        <w:pStyle w:val="Default"/>
        <w:rPr>
          <w:sz w:val="22"/>
          <w:szCs w:val="22"/>
        </w:rPr>
      </w:pPr>
    </w:p>
    <w:p w:rsidR="002847E1" w:rsidRDefault="008A162B" w:rsidP="002847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Đurđenovac,  2. 4. </w:t>
      </w:r>
      <w:r w:rsidR="002847E1">
        <w:rPr>
          <w:sz w:val="22"/>
          <w:szCs w:val="22"/>
        </w:rPr>
        <w:t>2014.</w:t>
      </w:r>
    </w:p>
    <w:p w:rsidR="002847E1" w:rsidRDefault="002847E1" w:rsidP="002847E1">
      <w:pPr>
        <w:pStyle w:val="Default"/>
        <w:rPr>
          <w:sz w:val="22"/>
          <w:szCs w:val="22"/>
        </w:rPr>
      </w:pPr>
    </w:p>
    <w:p w:rsidR="002847E1" w:rsidRDefault="002847E1" w:rsidP="002847E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89. Statuta Osnovne škole Josipa Jurja Strossmayera Đurđenovac, a u svezi s odredbama Zakona o fiskalnoj </w:t>
      </w:r>
      <w:r w:rsidR="000D1838">
        <w:rPr>
          <w:sz w:val="22"/>
          <w:szCs w:val="22"/>
        </w:rPr>
        <w:t>odgovornosti (N</w:t>
      </w:r>
      <w:r>
        <w:rPr>
          <w:sz w:val="22"/>
          <w:szCs w:val="22"/>
        </w:rPr>
        <w:t xml:space="preserve">N 130/10.) i Uredbe o sastavljanju i predaji izjave o fiskalnoj odgovornosti i izvještaja o primjeni fiskalnih pravila (NN 78/11.), ravnateljica  škole donosi </w:t>
      </w:r>
    </w:p>
    <w:p w:rsidR="002847E1" w:rsidRPr="00411C30" w:rsidRDefault="002847E1" w:rsidP="002847E1">
      <w:pPr>
        <w:pStyle w:val="Default"/>
        <w:jc w:val="both"/>
        <w:rPr>
          <w:b/>
          <w:sz w:val="32"/>
          <w:szCs w:val="32"/>
        </w:rPr>
      </w:pPr>
    </w:p>
    <w:p w:rsidR="002847E1" w:rsidRDefault="002847E1" w:rsidP="002847E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ODLUKU </w:t>
      </w:r>
      <w:r w:rsidRPr="00411C30">
        <w:rPr>
          <w:b/>
          <w:bCs/>
          <w:sz w:val="32"/>
          <w:szCs w:val="32"/>
        </w:rPr>
        <w:t>PROCEDUR</w:t>
      </w:r>
      <w:r>
        <w:rPr>
          <w:b/>
          <w:bCs/>
          <w:sz w:val="32"/>
          <w:szCs w:val="32"/>
        </w:rPr>
        <w:t>E</w:t>
      </w:r>
      <w:r w:rsidRPr="00411C30">
        <w:rPr>
          <w:b/>
          <w:bCs/>
          <w:sz w:val="32"/>
          <w:szCs w:val="32"/>
        </w:rPr>
        <w:t xml:space="preserve"> STVARANJA UGOVORNIH OBVEZA</w:t>
      </w:r>
    </w:p>
    <w:p w:rsidR="002847E1" w:rsidRPr="00411C30" w:rsidRDefault="002847E1" w:rsidP="002847E1">
      <w:pPr>
        <w:pStyle w:val="Default"/>
        <w:jc w:val="center"/>
        <w:rPr>
          <w:b/>
          <w:sz w:val="32"/>
          <w:szCs w:val="32"/>
        </w:rPr>
      </w:pPr>
    </w:p>
    <w:p w:rsidR="002847E1" w:rsidRDefault="002847E1" w:rsidP="002847E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Ovim aktom propisuje se stvaranje ugovornih odnosa, odnosno nabava roba i usluga,  javna nabava i druge ugovorne obveze koje su potrebne za redovan rad Škole i obavljanje odgojno-</w:t>
      </w:r>
      <w:r w:rsidR="00276BC7">
        <w:rPr>
          <w:sz w:val="22"/>
          <w:szCs w:val="22"/>
        </w:rPr>
        <w:t>obrazovne djelatnosti te je istI</w:t>
      </w:r>
      <w:r>
        <w:rPr>
          <w:sz w:val="22"/>
          <w:szCs w:val="22"/>
        </w:rPr>
        <w:t xml:space="preserve"> dostupan svim zaposlenicima na mrežnim stranicama Škole. </w:t>
      </w:r>
    </w:p>
    <w:p w:rsidR="008A162B" w:rsidRDefault="008A162B" w:rsidP="008A162B">
      <w:pPr>
        <w:pStyle w:val="Default"/>
        <w:ind w:left="720"/>
        <w:rPr>
          <w:sz w:val="22"/>
          <w:szCs w:val="22"/>
        </w:rPr>
      </w:pPr>
    </w:p>
    <w:p w:rsidR="008A162B" w:rsidRDefault="008A162B" w:rsidP="008A162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</w:p>
    <w:p w:rsidR="008A162B" w:rsidRDefault="008A162B" w:rsidP="008A162B">
      <w:pPr>
        <w:pStyle w:val="Default"/>
        <w:rPr>
          <w:sz w:val="22"/>
          <w:szCs w:val="22"/>
        </w:rPr>
      </w:pPr>
    </w:p>
    <w:p w:rsidR="008A162B" w:rsidRDefault="008A162B" w:rsidP="008A162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STVARANJE OBVEZA ZA KOJE NIJE  POTREBNA PROCEDURA JAVNE NABAVE</w:t>
      </w:r>
    </w:p>
    <w:p w:rsidR="008A162B" w:rsidRDefault="008A162B" w:rsidP="008A162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Ovom Odlukom uređuje se postupak koji prethodi ugovornom odnosu za nabavu roba i usluga procijenjene vrijednosti  do 200.000,00 kn, odnosno za nabavu radova procijenjene vrijednosti do 500.000,00 kn za koje se  ne  primjenjuje Zakon o javnoj nabavi.</w:t>
      </w:r>
    </w:p>
    <w:p w:rsidR="008A162B" w:rsidRDefault="008A162B" w:rsidP="008A162B">
      <w:pPr>
        <w:pStyle w:val="Default"/>
        <w:jc w:val="center"/>
        <w:rPr>
          <w:sz w:val="22"/>
          <w:szCs w:val="22"/>
        </w:rPr>
      </w:pPr>
    </w:p>
    <w:tbl>
      <w:tblPr>
        <w:tblStyle w:val="Reetkatablice"/>
        <w:tblW w:w="9606" w:type="dxa"/>
        <w:tblInd w:w="440" w:type="dxa"/>
        <w:tblLook w:val="04A0" w:firstRow="1" w:lastRow="0" w:firstColumn="1" w:lastColumn="0" w:noHBand="0" w:noVBand="1"/>
      </w:tblPr>
      <w:tblGrid>
        <w:gridCol w:w="817"/>
        <w:gridCol w:w="2693"/>
        <w:gridCol w:w="2410"/>
        <w:gridCol w:w="1985"/>
        <w:gridCol w:w="1701"/>
      </w:tblGrid>
      <w:tr w:rsidR="008A162B" w:rsidTr="008A162B">
        <w:tc>
          <w:tcPr>
            <w:tcW w:w="817" w:type="dxa"/>
          </w:tcPr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Redni</w:t>
            </w: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broj</w:t>
            </w:r>
          </w:p>
        </w:tc>
        <w:tc>
          <w:tcPr>
            <w:tcW w:w="2693" w:type="dxa"/>
          </w:tcPr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AKTIVNOST</w:t>
            </w:r>
          </w:p>
        </w:tc>
        <w:tc>
          <w:tcPr>
            <w:tcW w:w="2410" w:type="dxa"/>
          </w:tcPr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ODGOVORNOST</w:t>
            </w:r>
          </w:p>
        </w:tc>
        <w:tc>
          <w:tcPr>
            <w:tcW w:w="1985" w:type="dxa"/>
          </w:tcPr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DOKUMENT </w:t>
            </w:r>
          </w:p>
        </w:tc>
        <w:tc>
          <w:tcPr>
            <w:tcW w:w="1701" w:type="dxa"/>
          </w:tcPr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ROK</w:t>
            </w:r>
          </w:p>
        </w:tc>
      </w:tr>
      <w:tr w:rsidR="008A162B" w:rsidTr="008A162B">
        <w:trPr>
          <w:trHeight w:val="139"/>
        </w:trPr>
        <w:tc>
          <w:tcPr>
            <w:tcW w:w="817" w:type="dxa"/>
          </w:tcPr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8A162B">
            <w:pPr>
              <w:pStyle w:val="Default"/>
              <w:numPr>
                <w:ilvl w:val="0"/>
                <w:numId w:val="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Prijedlog za nabavu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8A162B">
            <w:pPr>
              <w:pStyle w:val="Default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Materijal za čišćenje  i održavanje higijene u objektima Škole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8A162B">
            <w:pPr>
              <w:pStyle w:val="Default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Školska kuhinja</w:t>
            </w:r>
          </w:p>
          <w:p w:rsidR="008A162B" w:rsidRDefault="008A162B" w:rsidP="00D110A9">
            <w:pPr>
              <w:pStyle w:val="Odlomakpopisa"/>
              <w:rPr>
                <w:sz w:val="20"/>
              </w:rPr>
            </w:pPr>
          </w:p>
          <w:p w:rsidR="008A162B" w:rsidRDefault="008A162B" w:rsidP="008A162B">
            <w:pPr>
              <w:pStyle w:val="Default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Uredski materijal</w:t>
            </w:r>
          </w:p>
          <w:p w:rsidR="008A162B" w:rsidRDefault="008A162B" w:rsidP="00D110A9">
            <w:pPr>
              <w:pStyle w:val="Odlomakpopisa"/>
              <w:rPr>
                <w:sz w:val="20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8A162B">
            <w:pPr>
              <w:pStyle w:val="Default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Udžbenici,  stručna literatura, knjige za knjižnicu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8A162B">
            <w:pPr>
              <w:pStyle w:val="Default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Pedagoška dokumentacija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8A162B">
            <w:pPr>
              <w:pStyle w:val="Default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Oprema i nastavna </w:t>
            </w:r>
          </w:p>
          <w:p w:rsidR="008A162B" w:rsidRDefault="008A162B" w:rsidP="00D110A9">
            <w:pPr>
              <w:pStyle w:val="Default"/>
              <w:ind w:left="7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Nastavna sredstva</w:t>
            </w:r>
          </w:p>
          <w:p w:rsidR="008A162B" w:rsidRDefault="008A162B" w:rsidP="00D110A9">
            <w:pPr>
              <w:pStyle w:val="Default"/>
              <w:ind w:left="720"/>
              <w:rPr>
                <w:sz w:val="20"/>
                <w:szCs w:val="22"/>
              </w:rPr>
            </w:pPr>
          </w:p>
          <w:p w:rsidR="008A162B" w:rsidRDefault="008A162B" w:rsidP="008A162B">
            <w:pPr>
              <w:pStyle w:val="Default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Ostale usluge, radovi, oprema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Spremačice, domari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Kuharice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Učitelji, stručni suradnici,  administrativno osoblje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Školski knjižničar,  učitelji, stručni suradnici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Pedagog, defektolog, ravnateljica,  tajnica, 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učitelji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pedagog, ravnateljica, defektolog i tajnica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Zaposlenici-nositelji pojedinih aktivnosti</w:t>
            </w:r>
          </w:p>
        </w:tc>
        <w:tc>
          <w:tcPr>
            <w:tcW w:w="1985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Interni pisani obrazac,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Narudžbenica,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ugovori</w:t>
            </w:r>
          </w:p>
        </w:tc>
        <w:tc>
          <w:tcPr>
            <w:tcW w:w="1701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Prema  potrebi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Tjedno, mjesečno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Prema potrebi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Prema potrebi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Prema potrebi</w:t>
            </w:r>
          </w:p>
        </w:tc>
      </w:tr>
      <w:tr w:rsidR="008A162B" w:rsidTr="008A162B">
        <w:tc>
          <w:tcPr>
            <w:tcW w:w="817" w:type="dxa"/>
          </w:tcPr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2693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Provjera je li prijedlog u skladu sa Financijskim planom i planom nabave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Ravnateljica ili računovođa Škole</w:t>
            </w:r>
          </w:p>
        </w:tc>
        <w:tc>
          <w:tcPr>
            <w:tcW w:w="1985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Ravnatelj odobrava ili </w:t>
            </w: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Ne sklapa ugovor ili narudžbe</w:t>
            </w:r>
          </w:p>
        </w:tc>
        <w:tc>
          <w:tcPr>
            <w:tcW w:w="1701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 dana od dana zaprimanja zahtjeva</w:t>
            </w:r>
          </w:p>
        </w:tc>
      </w:tr>
      <w:tr w:rsidR="008A162B" w:rsidTr="008A162B">
        <w:tc>
          <w:tcPr>
            <w:tcW w:w="817" w:type="dxa"/>
          </w:tcPr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jc w:val="center"/>
              <w:rPr>
                <w:sz w:val="20"/>
                <w:szCs w:val="22"/>
              </w:rPr>
            </w:pPr>
          </w:p>
        </w:tc>
        <w:tc>
          <w:tcPr>
            <w:tcW w:w="2693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Pokretanje nabave, sklapanje ugovora, izdavanja narudžbenice</w:t>
            </w:r>
          </w:p>
        </w:tc>
        <w:tc>
          <w:tcPr>
            <w:tcW w:w="2410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Ravnateljica ili tajnica</w:t>
            </w:r>
          </w:p>
        </w:tc>
        <w:tc>
          <w:tcPr>
            <w:tcW w:w="1985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Ugovor ili narudžbenica</w:t>
            </w:r>
          </w:p>
        </w:tc>
        <w:tc>
          <w:tcPr>
            <w:tcW w:w="1701" w:type="dxa"/>
          </w:tcPr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</w:p>
          <w:p w:rsidR="008A162B" w:rsidRDefault="008A162B" w:rsidP="00D110A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1-3 dana od odobrenja iz točke 2.</w:t>
            </w:r>
          </w:p>
        </w:tc>
      </w:tr>
    </w:tbl>
    <w:p w:rsidR="008A162B" w:rsidRPr="009934F7" w:rsidRDefault="008A162B" w:rsidP="008A162B">
      <w:pPr>
        <w:pStyle w:val="Default"/>
        <w:jc w:val="center"/>
        <w:rPr>
          <w:sz w:val="20"/>
          <w:szCs w:val="22"/>
        </w:rPr>
      </w:pPr>
    </w:p>
    <w:p w:rsidR="002847E1" w:rsidRDefault="002847E1" w:rsidP="002847E1">
      <w:pPr>
        <w:pStyle w:val="Default"/>
        <w:ind w:left="720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II</w:t>
      </w:r>
    </w:p>
    <w:p w:rsidR="002847E1" w:rsidRDefault="002847E1" w:rsidP="002847E1">
      <w:pPr>
        <w:pStyle w:val="Default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STVARANJE OBVEZA ZA KOJE JE POTREBNA PROCEDURA JAVNE NABAVE</w:t>
      </w: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Ovom Odlukom uređuje se postupak koji prethodi ugovornom odnosu za nabavu roba i usluga procijenjene vrijednosti veće od  200.000,00 kn, odnosno za nabavu radova procijenjene vrijednosti veće od 500.000,00 kn za koje se  primjenjuje Zakon o javnoj nabavi.</w:t>
      </w: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0"/>
          <w:szCs w:val="22"/>
        </w:rPr>
      </w:pPr>
    </w:p>
    <w:tbl>
      <w:tblPr>
        <w:tblStyle w:val="Reetkatablice"/>
        <w:tblW w:w="0" w:type="auto"/>
        <w:tblInd w:w="598" w:type="dxa"/>
        <w:tblLook w:val="04A0" w:firstRow="1" w:lastRow="0" w:firstColumn="1" w:lastColumn="0" w:noHBand="0" w:noVBand="1"/>
      </w:tblPr>
      <w:tblGrid>
        <w:gridCol w:w="817"/>
        <w:gridCol w:w="2897"/>
        <w:gridCol w:w="1858"/>
        <w:gridCol w:w="1858"/>
        <w:gridCol w:w="1858"/>
      </w:tblGrid>
      <w:tr w:rsidR="002847E1" w:rsidTr="006B4AB6">
        <w:tc>
          <w:tcPr>
            <w:tcW w:w="81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Redni</w:t>
            </w: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broj</w:t>
            </w:r>
          </w:p>
        </w:tc>
        <w:tc>
          <w:tcPr>
            <w:tcW w:w="289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AKTIVNOST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ODGOVORNOST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DOKUMENT 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ROK</w:t>
            </w:r>
          </w:p>
        </w:tc>
      </w:tr>
      <w:tr w:rsidR="002847E1" w:rsidTr="006B4AB6">
        <w:tc>
          <w:tcPr>
            <w:tcW w:w="81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</w:tc>
        <w:tc>
          <w:tcPr>
            <w:tcW w:w="289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Prijedlog za nabavu opreme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Zaposlenici, učitelji, nositelji pojedinih poslova i aktivnosti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Obrazac prijedloga s  opisom  potrebne opreme i cijene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Tijekom godine, a najkasnije  mjesec dana  prije pripreme  godišnjeg plana   nabave za slijedeću godinu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</w:tc>
      </w:tr>
      <w:tr w:rsidR="002847E1" w:rsidTr="006B4AB6">
        <w:tc>
          <w:tcPr>
            <w:tcW w:w="81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2897" w:type="dxa"/>
          </w:tcPr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Priprema tehničke i natječajne dokumentacije  za nabavu opreme ( usluga) radova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Ako proces nije centraliziran na razini osnivača- jedinice lokalne i područne (regionalne)  samouprave  tada učitelji u suradnji sa ravnateljicom Škole .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Moguće je angažirati vanjskog stručnjaka.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Tehnička i 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Natječajna dokumentacija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Idealno do početka 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Godine u kojoj se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Pokreće postupak 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Nabave, kako bi se s nabavom moglo 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Odmah započeti</w:t>
            </w:r>
          </w:p>
        </w:tc>
      </w:tr>
      <w:tr w:rsidR="002847E1" w:rsidTr="006B4AB6">
        <w:tc>
          <w:tcPr>
            <w:tcW w:w="81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</w:tc>
        <w:tc>
          <w:tcPr>
            <w:tcW w:w="289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Uključivanje stavki iz plana 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Nabave u financijski plan/proračun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Računovođa i 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ravnateljica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Financijski plan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Rujan-prosinac</w:t>
            </w:r>
          </w:p>
        </w:tc>
      </w:tr>
      <w:tr w:rsidR="002847E1" w:rsidTr="006B4AB6">
        <w:tc>
          <w:tcPr>
            <w:tcW w:w="81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</w:tc>
        <w:tc>
          <w:tcPr>
            <w:tcW w:w="2897" w:type="dxa"/>
          </w:tcPr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Prijedlog za pokretanje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Postupka javne nabave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Zaposlenici nositelji pojedinih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Poslova i aktivnosti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Dopis s prijedlogom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Te tehničkom i natječajnom dokumentacijom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Tijekom godine</w:t>
            </w:r>
          </w:p>
        </w:tc>
      </w:tr>
      <w:tr w:rsidR="002847E1" w:rsidTr="006B4AB6">
        <w:tc>
          <w:tcPr>
            <w:tcW w:w="81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</w:tc>
        <w:tc>
          <w:tcPr>
            <w:tcW w:w="289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Provjera je li prijedlog u skladu s donesenim planom  nabave i  financijskim planom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Ravnateljica i računovođa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Odobrenje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Pokretanje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postupka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 dana od zaprimanja prijedloga</w:t>
            </w:r>
          </w:p>
        </w:tc>
      </w:tr>
      <w:tr w:rsidR="002847E1" w:rsidTr="006B4AB6">
        <w:tc>
          <w:tcPr>
            <w:tcW w:w="81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</w:t>
            </w: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</w:tc>
        <w:tc>
          <w:tcPr>
            <w:tcW w:w="2897" w:type="dxa"/>
          </w:tcPr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Provjera je li tehnička i natječajna dokumentacija u skladu  s propisima o javnoj nabavi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Zaposlenik kojeg ovlasti ravnateljica ( u pravilu tajnik)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Pokreće postupak javne nabave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Najviše 30 dana od zaprimanja prijedloga  za pokretanje postupka javne nabave</w:t>
            </w: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</w:tc>
      </w:tr>
      <w:tr w:rsidR="002847E1" w:rsidTr="006B4AB6">
        <w:tc>
          <w:tcPr>
            <w:tcW w:w="81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7. </w:t>
            </w:r>
          </w:p>
        </w:tc>
        <w:tc>
          <w:tcPr>
            <w:tcW w:w="2897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Pokretanje postupka javne nabave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Ravnateljica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Objava natječaja</w:t>
            </w:r>
          </w:p>
        </w:tc>
        <w:tc>
          <w:tcPr>
            <w:tcW w:w="1858" w:type="dxa"/>
          </w:tcPr>
          <w:p w:rsidR="002847E1" w:rsidRDefault="002847E1" w:rsidP="00ED11DD">
            <w:pPr>
              <w:pStyle w:val="Default"/>
              <w:jc w:val="center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</w:p>
          <w:p w:rsidR="002847E1" w:rsidRDefault="002847E1" w:rsidP="00ED11DD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Tijekom godine</w:t>
            </w:r>
          </w:p>
        </w:tc>
      </w:tr>
    </w:tbl>
    <w:p w:rsidR="002847E1" w:rsidRPr="009934F7" w:rsidRDefault="002847E1" w:rsidP="002847E1">
      <w:pPr>
        <w:pStyle w:val="Default"/>
        <w:jc w:val="center"/>
        <w:rPr>
          <w:sz w:val="20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6B4AB6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Ova je Procedura objavljena na oglasnoj ploči Škole i WEB stranici Škole.</w:t>
      </w:r>
    </w:p>
    <w:p w:rsidR="002847E1" w:rsidRDefault="002847E1" w:rsidP="002847E1">
      <w:pPr>
        <w:pStyle w:val="Default"/>
        <w:rPr>
          <w:sz w:val="22"/>
          <w:szCs w:val="22"/>
        </w:rPr>
      </w:pPr>
    </w:p>
    <w:p w:rsidR="002847E1" w:rsidRDefault="002847E1" w:rsidP="006B4AB6">
      <w:pPr>
        <w:pStyle w:val="Default"/>
        <w:ind w:left="637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R a v n a t e l j i c a</w:t>
      </w:r>
    </w:p>
    <w:p w:rsidR="002847E1" w:rsidRDefault="002847E1" w:rsidP="002847E1">
      <w:pPr>
        <w:pStyle w:val="Default"/>
        <w:jc w:val="right"/>
        <w:rPr>
          <w:sz w:val="22"/>
          <w:szCs w:val="22"/>
        </w:rPr>
      </w:pPr>
    </w:p>
    <w:p w:rsidR="002847E1" w:rsidRDefault="006B4AB6" w:rsidP="006B4AB6">
      <w:pPr>
        <w:pStyle w:val="Default"/>
        <w:ind w:left="778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847E1">
        <w:rPr>
          <w:sz w:val="22"/>
          <w:szCs w:val="22"/>
        </w:rPr>
        <w:t xml:space="preserve">Martina </w:t>
      </w:r>
      <w:proofErr w:type="spellStart"/>
      <w:r w:rsidR="002847E1">
        <w:rPr>
          <w:sz w:val="22"/>
          <w:szCs w:val="22"/>
        </w:rPr>
        <w:t>Pavlić</w:t>
      </w:r>
      <w:proofErr w:type="spellEnd"/>
      <w:r w:rsidR="002847E1">
        <w:rPr>
          <w:sz w:val="22"/>
          <w:szCs w:val="22"/>
        </w:rPr>
        <w:t>, prof.</w:t>
      </w:r>
    </w:p>
    <w:p w:rsidR="002847E1" w:rsidRDefault="002847E1" w:rsidP="002847E1">
      <w:pPr>
        <w:pStyle w:val="Default"/>
        <w:jc w:val="right"/>
        <w:rPr>
          <w:sz w:val="22"/>
          <w:szCs w:val="22"/>
        </w:rPr>
      </w:pPr>
    </w:p>
    <w:p w:rsidR="002847E1" w:rsidRDefault="002847E1" w:rsidP="002847E1">
      <w:pPr>
        <w:pStyle w:val="Default"/>
        <w:jc w:val="right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4F0362" w:rsidRDefault="004F0362" w:rsidP="002847E1">
      <w:pPr>
        <w:pStyle w:val="Default"/>
        <w:jc w:val="center"/>
        <w:rPr>
          <w:sz w:val="22"/>
          <w:szCs w:val="22"/>
        </w:rPr>
      </w:pPr>
    </w:p>
    <w:p w:rsidR="002847E1" w:rsidRDefault="002847E1" w:rsidP="002847E1">
      <w:pPr>
        <w:pStyle w:val="Default"/>
        <w:jc w:val="center"/>
        <w:rPr>
          <w:sz w:val="22"/>
          <w:szCs w:val="22"/>
        </w:rPr>
      </w:pPr>
    </w:p>
    <w:sectPr w:rsidR="002847E1" w:rsidSect="000D1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1DEE"/>
    <w:multiLevelType w:val="hybridMultilevel"/>
    <w:tmpl w:val="7D92F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0A1C"/>
    <w:multiLevelType w:val="hybridMultilevel"/>
    <w:tmpl w:val="286AB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8570C"/>
    <w:multiLevelType w:val="hybridMultilevel"/>
    <w:tmpl w:val="CE588A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0182"/>
    <w:multiLevelType w:val="hybridMultilevel"/>
    <w:tmpl w:val="20FA7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B09EA"/>
    <w:multiLevelType w:val="hybridMultilevel"/>
    <w:tmpl w:val="7D92F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11C30"/>
    <w:rsid w:val="00023654"/>
    <w:rsid w:val="00034C27"/>
    <w:rsid w:val="000D1838"/>
    <w:rsid w:val="00123826"/>
    <w:rsid w:val="00125A97"/>
    <w:rsid w:val="00173167"/>
    <w:rsid w:val="001B1A20"/>
    <w:rsid w:val="001F2DDC"/>
    <w:rsid w:val="0023433C"/>
    <w:rsid w:val="00276BC7"/>
    <w:rsid w:val="002847E1"/>
    <w:rsid w:val="0031572B"/>
    <w:rsid w:val="00355CF2"/>
    <w:rsid w:val="00411C30"/>
    <w:rsid w:val="00432621"/>
    <w:rsid w:val="004F0362"/>
    <w:rsid w:val="004F7AC3"/>
    <w:rsid w:val="00552CF5"/>
    <w:rsid w:val="006B4AB6"/>
    <w:rsid w:val="006F3563"/>
    <w:rsid w:val="0074080F"/>
    <w:rsid w:val="00761172"/>
    <w:rsid w:val="0079597F"/>
    <w:rsid w:val="008A162B"/>
    <w:rsid w:val="009934F7"/>
    <w:rsid w:val="00993D45"/>
    <w:rsid w:val="00A41BB4"/>
    <w:rsid w:val="00A559B3"/>
    <w:rsid w:val="00A65471"/>
    <w:rsid w:val="00B86209"/>
    <w:rsid w:val="00B97FF5"/>
    <w:rsid w:val="00C92A65"/>
    <w:rsid w:val="00DB42C2"/>
    <w:rsid w:val="00DF491D"/>
    <w:rsid w:val="00E60D00"/>
    <w:rsid w:val="00E762F3"/>
    <w:rsid w:val="00EF0EDD"/>
    <w:rsid w:val="00F3468A"/>
    <w:rsid w:val="00F364D3"/>
    <w:rsid w:val="00FB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11C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F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34C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69F99-FDE3-4119-9BA7-0D422EFA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Tajnistvo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Win-XpPro.</dc:creator>
  <cp:lastModifiedBy>OS Đurđenovac</cp:lastModifiedBy>
  <cp:revision>4</cp:revision>
  <cp:lastPrinted>2014-04-09T12:45:00Z</cp:lastPrinted>
  <dcterms:created xsi:type="dcterms:W3CDTF">2014-04-09T12:06:00Z</dcterms:created>
  <dcterms:modified xsi:type="dcterms:W3CDTF">2014-04-09T12:46:00Z</dcterms:modified>
</cp:coreProperties>
</file>